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02C6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附件2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</w:t>
      </w:r>
    </w:p>
    <w:p w14:paraId="4C1AFED7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食堂瓶装液化石油气报价一览表</w:t>
      </w:r>
    </w:p>
    <w:tbl>
      <w:tblPr>
        <w:tblStyle w:val="3"/>
        <w:tblW w:w="51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826"/>
        <w:gridCol w:w="1065"/>
        <w:gridCol w:w="770"/>
        <w:gridCol w:w="1476"/>
        <w:gridCol w:w="1087"/>
        <w:gridCol w:w="1957"/>
      </w:tblGrid>
      <w:tr w14:paraId="045A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5" w:type="pct"/>
            <w:noWrap w:val="0"/>
            <w:vAlign w:val="center"/>
          </w:tcPr>
          <w:p w14:paraId="291BB47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36" w:type="pct"/>
            <w:noWrap w:val="0"/>
            <w:vAlign w:val="center"/>
          </w:tcPr>
          <w:p w14:paraId="313F1C0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品名</w:t>
            </w:r>
          </w:p>
        </w:tc>
        <w:tc>
          <w:tcPr>
            <w:tcW w:w="604" w:type="pct"/>
            <w:noWrap w:val="0"/>
            <w:vAlign w:val="center"/>
          </w:tcPr>
          <w:p w14:paraId="33006D7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规格</w:t>
            </w:r>
          </w:p>
        </w:tc>
        <w:tc>
          <w:tcPr>
            <w:tcW w:w="437" w:type="pct"/>
            <w:noWrap w:val="0"/>
            <w:vAlign w:val="center"/>
          </w:tcPr>
          <w:p w14:paraId="66DB43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837" w:type="pct"/>
            <w:noWrap w:val="0"/>
            <w:vAlign w:val="center"/>
          </w:tcPr>
          <w:p w14:paraId="7FCA621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预估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数量（年）</w:t>
            </w:r>
          </w:p>
          <w:p w14:paraId="0A07ED3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（按实结算）</w:t>
            </w:r>
          </w:p>
        </w:tc>
        <w:tc>
          <w:tcPr>
            <w:tcW w:w="617" w:type="pct"/>
            <w:noWrap w:val="0"/>
            <w:vAlign w:val="center"/>
          </w:tcPr>
          <w:p w14:paraId="083A1D27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111" w:type="pct"/>
            <w:noWrap w:val="0"/>
            <w:vAlign w:val="center"/>
          </w:tcPr>
          <w:p w14:paraId="779402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金额</w:t>
            </w:r>
          </w:p>
        </w:tc>
      </w:tr>
      <w:tr w14:paraId="1DC8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55" w:type="pct"/>
            <w:noWrap w:val="0"/>
            <w:vAlign w:val="center"/>
          </w:tcPr>
          <w:p w14:paraId="1DEE876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1036" w:type="pct"/>
            <w:noWrap w:val="0"/>
            <w:vAlign w:val="center"/>
          </w:tcPr>
          <w:p w14:paraId="0EA7E9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瓶装液化石油气</w:t>
            </w:r>
          </w:p>
        </w:tc>
        <w:tc>
          <w:tcPr>
            <w:tcW w:w="604" w:type="pct"/>
            <w:noWrap w:val="0"/>
            <w:vAlign w:val="center"/>
          </w:tcPr>
          <w:p w14:paraId="0E9BE15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45公斤/瓶</w:t>
            </w:r>
          </w:p>
        </w:tc>
        <w:tc>
          <w:tcPr>
            <w:tcW w:w="437" w:type="pct"/>
            <w:noWrap w:val="0"/>
            <w:vAlign w:val="center"/>
          </w:tcPr>
          <w:p w14:paraId="21CECD7A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公斤</w:t>
            </w:r>
          </w:p>
        </w:tc>
        <w:tc>
          <w:tcPr>
            <w:tcW w:w="837" w:type="pct"/>
            <w:noWrap w:val="0"/>
            <w:vAlign w:val="center"/>
          </w:tcPr>
          <w:p w14:paraId="7DF0AB7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4250</w:t>
            </w:r>
          </w:p>
        </w:tc>
        <w:tc>
          <w:tcPr>
            <w:tcW w:w="617" w:type="pct"/>
            <w:noWrap w:val="0"/>
            <w:vAlign w:val="center"/>
          </w:tcPr>
          <w:p w14:paraId="785E35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3B95AF0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485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55" w:type="pct"/>
            <w:noWrap w:val="0"/>
            <w:vAlign w:val="center"/>
          </w:tcPr>
          <w:p w14:paraId="31E2B23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7A30518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瓶装液化石油气</w:t>
            </w:r>
          </w:p>
        </w:tc>
        <w:tc>
          <w:tcPr>
            <w:tcW w:w="604" w:type="pct"/>
            <w:noWrap w:val="0"/>
            <w:vAlign w:val="center"/>
          </w:tcPr>
          <w:p w14:paraId="47965262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12公斤/瓶</w:t>
            </w:r>
          </w:p>
        </w:tc>
        <w:tc>
          <w:tcPr>
            <w:tcW w:w="437" w:type="pct"/>
            <w:noWrap w:val="0"/>
            <w:vAlign w:val="center"/>
          </w:tcPr>
          <w:p w14:paraId="5354931D"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公斤</w:t>
            </w:r>
          </w:p>
        </w:tc>
        <w:tc>
          <w:tcPr>
            <w:tcW w:w="837" w:type="pct"/>
            <w:noWrap w:val="0"/>
            <w:vAlign w:val="center"/>
          </w:tcPr>
          <w:p w14:paraId="05A159DA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617" w:type="pct"/>
            <w:noWrap w:val="0"/>
            <w:vAlign w:val="center"/>
          </w:tcPr>
          <w:p w14:paraId="617BF96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1612ECA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7BCC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7"/>
            <w:noWrap w:val="0"/>
            <w:vAlign w:val="center"/>
          </w:tcPr>
          <w:p w14:paraId="2F2755F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人民币合计金额：大写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t xml:space="preserve">                      （小写¥            ）</w:t>
            </w:r>
          </w:p>
        </w:tc>
      </w:tr>
      <w:tr w14:paraId="318B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</w:trPr>
        <w:tc>
          <w:tcPr>
            <w:tcW w:w="5000" w:type="pct"/>
            <w:gridSpan w:val="7"/>
            <w:noWrap w:val="0"/>
            <w:vAlign w:val="center"/>
          </w:tcPr>
          <w:p w14:paraId="13C54EFA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质量要求：</w:t>
            </w:r>
          </w:p>
          <w:p w14:paraId="4F975A60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气品质量：所供液化石油气必须符合中华人民共和国国家标准 GB11174-2011《液化石油气》的要求</w:t>
            </w:r>
          </w:p>
          <w:p w14:paraId="3821186A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钢瓶标准：提供的液化石油气钢瓶必须符要求，并保证在法定检验有效期内。</w:t>
            </w:r>
          </w:p>
          <w:p w14:paraId="20F9B463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服务要求及付款：</w:t>
            </w:r>
          </w:p>
          <w:p w14:paraId="70A08D1A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配送车辆需具备危险品运输资质，配备防火帽、灭火器等安全设备。</w:t>
            </w:r>
          </w:p>
          <w:p w14:paraId="3943B1E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2、钢瓶提供：免费提供符合标准的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LPG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 xml:space="preserve"> 钢瓶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  <w:t>供采购人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</w:rPr>
              <w:t>使用</w:t>
            </w:r>
            <w:r>
              <w:rPr>
                <w:rFonts w:hint="eastAsia" w:ascii="仿宋" w:hAnsi="仿宋" w:eastAsia="仿宋" w:cs="仿宋"/>
                <w:spacing w:val="0"/>
                <w:sz w:val="24"/>
                <w:szCs w:val="24"/>
                <w:lang w:eastAsia="zh-CN"/>
              </w:rPr>
              <w:t>。</w:t>
            </w:r>
          </w:p>
          <w:p w14:paraId="51448CD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3、配送要求：按招标人实际需求配送至广西大学相关食堂。</w:t>
            </w:r>
          </w:p>
          <w:p w14:paraId="6BECB2A6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4、付款方式：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TW"/>
              </w:rPr>
              <w:t>每月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TW"/>
              </w:rPr>
              <w:t>日前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（遇节假日顺延），采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购人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TW"/>
              </w:rPr>
              <w:t>按照上月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TW"/>
              </w:rPr>
              <w:t>交付的产品数量，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经双方核对无误后，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TW"/>
              </w:rPr>
              <w:t>将上月的货款一次性以银行转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TW"/>
              </w:rPr>
              <w:t>方式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结清。</w:t>
            </w:r>
          </w:p>
        </w:tc>
      </w:tr>
    </w:tbl>
    <w:p w14:paraId="543A9EFC">
      <w:pPr>
        <w:pStyle w:val="5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</w:p>
    <w:p w14:paraId="54E788C3">
      <w:pPr>
        <w:pStyle w:val="5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1.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投标人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必须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就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所需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品类的全部内容作完整</w:t>
      </w:r>
      <w:r>
        <w:rPr>
          <w:rFonts w:hint="eastAsia" w:ascii="仿宋" w:hAnsi="仿宋" w:eastAsia="仿宋" w:cs="仿宋"/>
          <w:b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唯一报价，不得存在漏项报价；报价超过采购预算金额的，其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作无效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响应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处理。</w:t>
      </w:r>
    </w:p>
    <w:p w14:paraId="23CED746">
      <w:pPr>
        <w:pStyle w:val="5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投标人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的报价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一览表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表必须加盖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投标单位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公章并由法定代表人或者委托代理人签字，否则其响应按无效响应处理。</w:t>
      </w:r>
    </w:p>
    <w:p w14:paraId="60C80FB2">
      <w:pPr>
        <w:pStyle w:val="5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3.报价一经涂改，应在涂改处加盖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投标单位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公章，否则其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sz w:val="21"/>
          <w:szCs w:val="21"/>
        </w:rPr>
        <w:t>按无效响应处理。</w:t>
      </w:r>
    </w:p>
    <w:p w14:paraId="0BE27140">
      <w:pPr>
        <w:pStyle w:val="5"/>
        <w:jc w:val="left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4.以上价格包含配送、税金等费用。</w:t>
      </w:r>
    </w:p>
    <w:p w14:paraId="2A101962">
      <w:pPr>
        <w:pStyle w:val="5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</w:p>
    <w:p w14:paraId="6CC68B8E">
      <w:pPr>
        <w:pStyle w:val="5"/>
        <w:ind w:firstLine="3780" w:firstLineChars="180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</w:p>
    <w:p w14:paraId="706C92FA">
      <w:pPr>
        <w:pStyle w:val="5"/>
        <w:ind w:firstLine="3780" w:firstLineChars="180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</w:p>
    <w:p w14:paraId="71377955">
      <w:pPr>
        <w:pStyle w:val="5"/>
        <w:ind w:firstLine="3780" w:firstLineChars="180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 xml:space="preserve">法定代表人或者委托代理人（签字）：                                       </w:t>
      </w:r>
    </w:p>
    <w:p w14:paraId="668A53A2">
      <w:pPr>
        <w:pStyle w:val="5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</w:p>
    <w:p w14:paraId="4357D4CD">
      <w:pPr>
        <w:pStyle w:val="5"/>
        <w:ind w:firstLine="3780" w:firstLineChars="180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 xml:space="preserve">（公章）：                           </w:t>
      </w:r>
    </w:p>
    <w:p w14:paraId="4FF23D4A">
      <w:pPr>
        <w:pStyle w:val="5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</w:p>
    <w:p w14:paraId="6897C5E6">
      <w:pPr>
        <w:pStyle w:val="5"/>
        <w:ind w:firstLine="3780" w:firstLineChars="180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日期：     年     月     日</w:t>
      </w:r>
    </w:p>
    <w:p w14:paraId="11DFE2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9C516"/>
    <w:multiLevelType w:val="singleLevel"/>
    <w:tmpl w:val="D5A9C5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813F5C"/>
    <w:multiLevelType w:val="singleLevel"/>
    <w:tmpl w:val="FB813F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06274"/>
    <w:rsid w:val="08706274"/>
    <w:rsid w:val="49463453"/>
    <w:rsid w:val="74A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  <w:spacing w:line="320" w:lineRule="exact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2026-01-07T09:38:00Z</dcterms:created>
  <dc:creator>杨丽娟</dc:creator>
  <cp:lastModifiedBy>杨丽娟</cp:lastModifiedBy>
  <dcterms:modified xsi:type="dcterms:W3CDTF">2026-01-07T09:42:51Z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1A10FE5124FA4A04A0555ABF88E2EA37_11</vt:lpwstr>
  </property>
  <property fmtid="{D5CDD505-2E9C-101B-9397-08002B2CF9AE}" pid="4" name="KSOTemplateDocerSaveRecord">
    <vt:lpwstr>eyJoZGlkIjoiOGY5OTc0YjYxNzY3ZDQxYjFmODJlNjE5MDJhYzBhZDYiLCJ1c2VySWQiOiI2NjcwOTUwMzAifQ==</vt:lpwstr>
  </property>
</Properties>
</file>